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E309" w14:textId="6B27BC13" w:rsidR="009058E6" w:rsidRDefault="009058E6" w:rsidP="009058E6">
      <w:pPr>
        <w:pStyle w:val="NoSpacing"/>
        <w:jc w:val="center"/>
      </w:pPr>
      <w:r>
        <w:rPr>
          <w:noProof/>
        </w:rPr>
        <w:drawing>
          <wp:inline distT="0" distB="0" distL="0" distR="0" wp14:anchorId="6E671BE3" wp14:editId="39701804">
            <wp:extent cx="6113603" cy="1924050"/>
            <wp:effectExtent l="19050" t="19050" r="20955" b="19050"/>
            <wp:docPr id="108856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69465" name=""/>
                    <pic:cNvPicPr/>
                  </pic:nvPicPr>
                  <pic:blipFill rotWithShape="1">
                    <a:blip r:embed="rId5"/>
                    <a:srcRect t="11365" b="27985"/>
                    <a:stretch/>
                  </pic:blipFill>
                  <pic:spPr bwMode="auto">
                    <a:xfrm>
                      <a:off x="0" y="0"/>
                      <a:ext cx="6123864" cy="192727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BF4C783" w14:textId="77777777" w:rsidR="009058E6" w:rsidRDefault="009058E6" w:rsidP="009058E6">
      <w:pPr>
        <w:pStyle w:val="NoSpacing"/>
      </w:pPr>
    </w:p>
    <w:p w14:paraId="40052209" w14:textId="77777777" w:rsidR="009058E6" w:rsidRDefault="009058E6" w:rsidP="009058E6">
      <w:pPr>
        <w:pStyle w:val="NoSpacing"/>
      </w:pPr>
    </w:p>
    <w:p w14:paraId="32B2743A" w14:textId="274DF64C" w:rsidR="009058E6" w:rsidRDefault="009058E6" w:rsidP="009058E6">
      <w:pPr>
        <w:pStyle w:val="NoSpacing"/>
        <w:jc w:val="center"/>
      </w:pPr>
      <w:r>
        <w:rPr>
          <w:noProof/>
        </w:rPr>
        <w:drawing>
          <wp:inline distT="0" distB="0" distL="0" distR="0" wp14:anchorId="74EE783B" wp14:editId="6366CD12">
            <wp:extent cx="2244090" cy="2188416"/>
            <wp:effectExtent l="19050" t="19050" r="22860" b="21590"/>
            <wp:docPr id="204455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5171" name=""/>
                    <pic:cNvPicPr/>
                  </pic:nvPicPr>
                  <pic:blipFill rotWithShape="1">
                    <a:blip r:embed="rId6"/>
                    <a:srcRect l="28166" t="8831" r="28167" b="9112"/>
                    <a:stretch/>
                  </pic:blipFill>
                  <pic:spPr bwMode="auto">
                    <a:xfrm>
                      <a:off x="0" y="0"/>
                      <a:ext cx="2247563" cy="21918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B0DA77" w14:textId="77777777" w:rsidR="009058E6" w:rsidRDefault="009058E6" w:rsidP="009058E6">
      <w:pPr>
        <w:pStyle w:val="NoSpacing"/>
      </w:pPr>
    </w:p>
    <w:p w14:paraId="714769C6" w14:textId="77777777" w:rsidR="00632B1C" w:rsidRPr="00632B1C" w:rsidRDefault="00632B1C" w:rsidP="00632B1C">
      <w:pPr>
        <w:pStyle w:val="NoSpacing"/>
      </w:pPr>
      <w:r w:rsidRPr="00632B1C">
        <w:rPr>
          <w:b/>
          <w:bCs/>
        </w:rPr>
        <w:t>A Novel Architecture for Signal &amp; Power Optimization for AI/HPC</w:t>
      </w:r>
      <w:r w:rsidRPr="00632B1C">
        <w:t>:</w:t>
      </w:r>
      <w:r w:rsidRPr="00632B1C">
        <w:rPr>
          <w:rFonts w:eastAsia="Calibri"/>
        </w:rPr>
        <w:t xml:space="preserve"> </w:t>
      </w:r>
      <w:r w:rsidRPr="00632B1C">
        <w:t>T</w:t>
      </w:r>
      <w:r w:rsidRPr="00632B1C">
        <w:rPr>
          <w:rFonts w:eastAsia="Calibri"/>
        </w:rPr>
        <w:t>he demand for extremely high data bandwidth</w:t>
      </w:r>
      <w:r w:rsidRPr="00632B1C">
        <w:t xml:space="preserve"> (~</w:t>
      </w:r>
      <w:r w:rsidRPr="00632B1C">
        <w:rPr>
          <w:rFonts w:eastAsia="Calibri"/>
        </w:rPr>
        <w:t>terabyte-per-second</w:t>
      </w:r>
      <w:r w:rsidRPr="00632B1C">
        <w:t xml:space="preserve">) </w:t>
      </w:r>
      <w:r w:rsidRPr="00632B1C">
        <w:rPr>
          <w:rFonts w:eastAsia="Calibri"/>
        </w:rPr>
        <w:t>and extensive input/output connectivity has grown significantly</w:t>
      </w:r>
      <w:r w:rsidRPr="00632B1C">
        <w:t xml:space="preserve"> for </w:t>
      </w:r>
      <w:r w:rsidRPr="00632B1C">
        <w:rPr>
          <w:rFonts w:eastAsia="Calibri"/>
        </w:rPr>
        <w:t>artificial intelligence (AI) and high-performance computing (HPC)</w:t>
      </w:r>
      <w:r w:rsidRPr="00632B1C">
        <w:t xml:space="preserve"> applications</w:t>
      </w:r>
      <w:r w:rsidRPr="00632B1C">
        <w:rPr>
          <w:rFonts w:eastAsia="Calibri"/>
        </w:rPr>
        <w:t xml:space="preserve">. </w:t>
      </w:r>
      <w:r w:rsidRPr="00632B1C">
        <w:t>To meet it, a</w:t>
      </w:r>
      <w:r w:rsidRPr="00632B1C">
        <w:rPr>
          <w:rFonts w:eastAsia="Calibri"/>
        </w:rPr>
        <w:t xml:space="preserve">dvanced packaging techniques have become essential </w:t>
      </w:r>
      <w:r w:rsidRPr="00632B1C">
        <w:t>and s</w:t>
      </w:r>
      <w:r w:rsidRPr="00632B1C">
        <w:rPr>
          <w:rFonts w:eastAsia="Calibri"/>
        </w:rPr>
        <w:t>ilicon interposers, known for their high-density interconnects, have been widely adopted</w:t>
      </w:r>
      <w:r w:rsidRPr="00632B1C">
        <w:t>. But</w:t>
      </w:r>
      <w:r w:rsidRPr="00632B1C">
        <w:rPr>
          <w:rFonts w:eastAsia="Calibri"/>
        </w:rPr>
        <w:t xml:space="preserve"> they </w:t>
      </w:r>
      <w:r w:rsidRPr="00632B1C">
        <w:t xml:space="preserve">bring </w:t>
      </w:r>
      <w:r w:rsidRPr="00632B1C">
        <w:rPr>
          <w:rFonts w:eastAsia="Calibri"/>
        </w:rPr>
        <w:t xml:space="preserve">challenges related to the complexity of </w:t>
      </w:r>
      <w:r w:rsidRPr="00632B1C">
        <w:t xml:space="preserve">their </w:t>
      </w:r>
      <w:r w:rsidRPr="00632B1C">
        <w:rPr>
          <w:rFonts w:eastAsia="Calibri"/>
        </w:rPr>
        <w:t xml:space="preserve">redistribution layers (RDLs) and the inherent limitations of through-silicon vias (TSVs). </w:t>
      </w:r>
      <w:r w:rsidRPr="00632B1C">
        <w:t>A</w:t>
      </w:r>
      <w:r w:rsidRPr="00632B1C">
        <w:rPr>
          <w:rFonts w:eastAsia="Calibri"/>
        </w:rPr>
        <w:t>dding additional RDL layers can improve power delivery network</w:t>
      </w:r>
      <w:r w:rsidRPr="00632B1C">
        <w:t xml:space="preserve"> </w:t>
      </w:r>
      <w:r w:rsidRPr="00632B1C">
        <w:rPr>
          <w:rFonts w:eastAsia="Calibri"/>
        </w:rPr>
        <w:t>performance</w:t>
      </w:r>
      <w:r w:rsidRPr="00632B1C">
        <w:t>, but</w:t>
      </w:r>
      <w:r w:rsidRPr="00632B1C">
        <w:rPr>
          <w:rFonts w:eastAsia="Calibri"/>
        </w:rPr>
        <w:t xml:space="preserve"> the increased thickness can induce wafer warpage due to stress accumulation. Similarly, although high</w:t>
      </w:r>
      <w:r w:rsidRPr="00632B1C">
        <w:t>-</w:t>
      </w:r>
      <w:r w:rsidRPr="00632B1C">
        <w:rPr>
          <w:rFonts w:eastAsia="Calibri"/>
        </w:rPr>
        <w:t>aspect</w:t>
      </w:r>
      <w:r w:rsidRPr="00632B1C">
        <w:t>-</w:t>
      </w:r>
      <w:r w:rsidRPr="00632B1C">
        <w:rPr>
          <w:rFonts w:eastAsia="Calibri"/>
        </w:rPr>
        <w:t xml:space="preserve">ratio TSVs improve integration density, they introduce issues such as </w:t>
      </w:r>
      <w:r w:rsidRPr="00632B1C">
        <w:t xml:space="preserve">potential </w:t>
      </w:r>
      <w:r w:rsidRPr="00632B1C">
        <w:rPr>
          <w:rFonts w:eastAsia="Calibri"/>
        </w:rPr>
        <w:t>void-free filling, stress management</w:t>
      </w:r>
      <w:r w:rsidRPr="00632B1C">
        <w:t xml:space="preserve"> problems </w:t>
      </w:r>
      <w:r w:rsidRPr="00632B1C">
        <w:rPr>
          <w:rFonts w:eastAsia="Calibri"/>
        </w:rPr>
        <w:t>and increased fabrication complexity.</w:t>
      </w:r>
    </w:p>
    <w:p w14:paraId="3D2A518D" w14:textId="26921084" w:rsidR="00632B1C" w:rsidRPr="00632B1C" w:rsidRDefault="00632B1C" w:rsidP="00632B1C">
      <w:pPr>
        <w:pStyle w:val="NoSpacing"/>
        <w:ind w:firstLine="720"/>
        <w:rPr>
          <w:rFonts w:eastAsia="SimSun"/>
        </w:rPr>
      </w:pPr>
      <w:r w:rsidRPr="00632B1C">
        <w:t>To overcome these challenges, at ECTC a HANA Micron-led team will propose a heterogeneous integrated chip (HIC™) for 2.xD packaging for wide I/O applications. It uses bridge dies and copper posts instead of a conventional silicon interposer. Th</w:t>
      </w:r>
      <w:r>
        <w:t>e</w:t>
      </w:r>
      <w:r w:rsidRPr="00632B1C">
        <w:t xml:space="preserve"> design integrates signal and power routing within the bridge die structure and copper posts, eliminating the need for a dedicated frontside RDL and C4 bumps. As a result, routing path lengths are reduced, parasitic RC delays are lowered, and power delivery network formation is simplified, improving both signal and power integrity. The proposed design supports up to 6.4 Gbps per lane in a staggered configuration, suitable for HBM3 high-speed connectivity, and the researchers will highlight its potential </w:t>
      </w:r>
      <w:bookmarkStart w:id="0" w:name="_Hlk195448207"/>
      <w:r w:rsidRPr="00632B1C">
        <w:rPr>
          <w:rFonts w:eastAsia="SimSun"/>
        </w:rPr>
        <w:t>as a scalable, cost-effective solution for next-generation high-speed packaging applications.</w:t>
      </w:r>
    </w:p>
    <w:p w14:paraId="685EBBB4" w14:textId="77777777" w:rsidR="00632B1C" w:rsidRPr="00632B1C" w:rsidRDefault="00632B1C" w:rsidP="00632B1C">
      <w:pPr>
        <w:pStyle w:val="NoSpacing"/>
        <w:rPr>
          <w:rFonts w:eastAsia="SimSun"/>
        </w:rPr>
      </w:pPr>
    </w:p>
    <w:p w14:paraId="7D7FEF8E" w14:textId="77777777" w:rsidR="00632B1C" w:rsidRPr="00632B1C" w:rsidRDefault="00632B1C" w:rsidP="00632B1C">
      <w:pPr>
        <w:pStyle w:val="NoSpacing"/>
      </w:pPr>
      <w:r w:rsidRPr="00632B1C">
        <w:rPr>
          <w:b/>
          <w:bCs/>
        </w:rPr>
        <w:t>The images above show</w:t>
      </w:r>
      <w:r w:rsidRPr="00632B1C">
        <w:t>:</w:t>
      </w:r>
    </w:p>
    <w:p w14:paraId="30161864" w14:textId="77777777" w:rsidR="00632B1C" w:rsidRPr="00632B1C" w:rsidRDefault="00632B1C" w:rsidP="00632B1C">
      <w:pPr>
        <w:pStyle w:val="NoSpacing"/>
        <w:numPr>
          <w:ilvl w:val="0"/>
          <w:numId w:val="1"/>
        </w:numPr>
      </w:pPr>
      <w:r w:rsidRPr="00632B1C">
        <w:rPr>
          <w:u w:val="single"/>
        </w:rPr>
        <w:t>Top left</w:t>
      </w:r>
      <w:r w:rsidRPr="00632B1C">
        <w:t>: A mechanical prototype of the heterogeneously integrated chip on a 70 mm × 70 mm package substrate.</w:t>
      </w:r>
    </w:p>
    <w:p w14:paraId="5AB28D44" w14:textId="77777777" w:rsidR="00632B1C" w:rsidRPr="00632B1C" w:rsidRDefault="00632B1C" w:rsidP="00632B1C">
      <w:pPr>
        <w:pStyle w:val="NoSpacing"/>
        <w:numPr>
          <w:ilvl w:val="0"/>
          <w:numId w:val="1"/>
        </w:numPr>
      </w:pPr>
      <w:r w:rsidRPr="00632B1C">
        <w:rPr>
          <w:u w:val="single"/>
        </w:rPr>
        <w:t>Top right</w:t>
      </w:r>
      <w:r w:rsidRPr="00632B1C">
        <w:t>: A conceptual illustration with the bridge dies and copper posts highlighted in yellow.</w:t>
      </w:r>
    </w:p>
    <w:p w14:paraId="0EE25AD9" w14:textId="77777777" w:rsidR="00632B1C" w:rsidRPr="00632B1C" w:rsidRDefault="00632B1C" w:rsidP="00632B1C">
      <w:pPr>
        <w:pStyle w:val="NoSpacing"/>
        <w:numPr>
          <w:ilvl w:val="0"/>
          <w:numId w:val="1"/>
        </w:numPr>
      </w:pPr>
      <w:r w:rsidRPr="00632B1C">
        <w:rPr>
          <w:u w:val="single"/>
        </w:rPr>
        <w:t>Bottom</w:t>
      </w:r>
      <w:r w:rsidRPr="00632B1C">
        <w:t>: Eye diagrams of the silicon interposer channel in the (a) split and (b) staggered configurations, and also of the RDL bridge die channel in the (c) split and (d) staggered configurations.</w:t>
      </w:r>
    </w:p>
    <w:p w14:paraId="1CC3F4F3" w14:textId="77777777" w:rsidR="00632B1C" w:rsidRDefault="00632B1C" w:rsidP="00632B1C">
      <w:pPr>
        <w:pStyle w:val="NoSpacing"/>
      </w:pPr>
    </w:p>
    <w:p w14:paraId="419627F7" w14:textId="3DCD9163" w:rsidR="00632B1C" w:rsidRPr="003058BE" w:rsidRDefault="00632B1C">
      <w:pPr>
        <w:pStyle w:val="NoSpacing"/>
        <w:rPr>
          <w:rFonts w:eastAsia="Calibri"/>
          <w:b/>
          <w:bCs/>
          <w:sz w:val="20"/>
          <w:szCs w:val="20"/>
        </w:rPr>
      </w:pPr>
      <w:r w:rsidRPr="0013763C">
        <w:rPr>
          <w:b/>
          <w:bCs/>
          <w:sz w:val="20"/>
          <w:szCs w:val="20"/>
        </w:rPr>
        <w:t>(IP session #38, “</w:t>
      </w:r>
      <w:r w:rsidRPr="0013763C">
        <w:rPr>
          <w:rFonts w:eastAsia="Calibri"/>
          <w:b/>
          <w:bCs/>
          <w:i/>
          <w:iCs/>
          <w:sz w:val="20"/>
          <w:szCs w:val="20"/>
        </w:rPr>
        <w:t>Signal and Power Integrity Optimization Using Novel Bridge Die and Copper Post Interconnect Design in 2.xD Packaging for Wide I/O Applications</w:t>
      </w:r>
      <w:r w:rsidRPr="0013763C">
        <w:rPr>
          <w:b/>
          <w:bCs/>
          <w:sz w:val="20"/>
          <w:szCs w:val="20"/>
        </w:rPr>
        <w:t>,” Y. Na et al, HANA Micron Inc./ Myongji University/ Swevenz Inc.)</w:t>
      </w:r>
      <w:bookmarkEnd w:id="0"/>
    </w:p>
    <w:sectPr w:rsidR="00632B1C" w:rsidRPr="003058BE" w:rsidSect="003058B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3E0C"/>
    <w:multiLevelType w:val="hybridMultilevel"/>
    <w:tmpl w:val="47B2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3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E6"/>
    <w:rsid w:val="000B654D"/>
    <w:rsid w:val="001315EE"/>
    <w:rsid w:val="001472C1"/>
    <w:rsid w:val="003058BE"/>
    <w:rsid w:val="0034402F"/>
    <w:rsid w:val="00632B1C"/>
    <w:rsid w:val="007D037A"/>
    <w:rsid w:val="008C3C7D"/>
    <w:rsid w:val="009058E6"/>
    <w:rsid w:val="00DE75B0"/>
    <w:rsid w:val="00F80B61"/>
    <w:rsid w:val="00FE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7819"/>
  <w15:chartTrackingRefBased/>
  <w15:docId w15:val="{F21FD838-9EEB-4A80-B547-89D6CCB0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paragraph" w:styleId="Heading1">
    <w:name w:val="heading 1"/>
    <w:basedOn w:val="Normal"/>
    <w:next w:val="Normal"/>
    <w:link w:val="Heading1Char"/>
    <w:uiPriority w:val="9"/>
    <w:qFormat/>
    <w:rsid w:val="00905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5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58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58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58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58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58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58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58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905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5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58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58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58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58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58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58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58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8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8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58E6"/>
    <w:pPr>
      <w:spacing w:before="160"/>
      <w:jc w:val="center"/>
    </w:pPr>
    <w:rPr>
      <w:i/>
      <w:iCs/>
      <w:color w:val="404040" w:themeColor="text1" w:themeTint="BF"/>
    </w:rPr>
  </w:style>
  <w:style w:type="character" w:customStyle="1" w:styleId="QuoteChar">
    <w:name w:val="Quote Char"/>
    <w:basedOn w:val="DefaultParagraphFont"/>
    <w:link w:val="Quote"/>
    <w:uiPriority w:val="29"/>
    <w:rsid w:val="009058E6"/>
    <w:rPr>
      <w:i/>
      <w:iCs/>
      <w:color w:val="404040" w:themeColor="text1" w:themeTint="BF"/>
    </w:rPr>
  </w:style>
  <w:style w:type="paragraph" w:styleId="ListParagraph">
    <w:name w:val="List Paragraph"/>
    <w:basedOn w:val="Normal"/>
    <w:uiPriority w:val="34"/>
    <w:qFormat/>
    <w:rsid w:val="009058E6"/>
    <w:pPr>
      <w:ind w:left="720"/>
      <w:contextualSpacing/>
    </w:pPr>
  </w:style>
  <w:style w:type="character" w:styleId="IntenseEmphasis">
    <w:name w:val="Intense Emphasis"/>
    <w:basedOn w:val="DefaultParagraphFont"/>
    <w:uiPriority w:val="21"/>
    <w:qFormat/>
    <w:rsid w:val="009058E6"/>
    <w:rPr>
      <w:i/>
      <w:iCs/>
      <w:color w:val="2F5496" w:themeColor="accent1" w:themeShade="BF"/>
    </w:rPr>
  </w:style>
  <w:style w:type="paragraph" w:styleId="IntenseQuote">
    <w:name w:val="Intense Quote"/>
    <w:basedOn w:val="Normal"/>
    <w:next w:val="Normal"/>
    <w:link w:val="IntenseQuoteChar"/>
    <w:uiPriority w:val="30"/>
    <w:qFormat/>
    <w:rsid w:val="0090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8E6"/>
    <w:rPr>
      <w:i/>
      <w:iCs/>
      <w:color w:val="2F5496" w:themeColor="accent1" w:themeShade="BF"/>
    </w:rPr>
  </w:style>
  <w:style w:type="character" w:styleId="IntenseReference">
    <w:name w:val="Intense Reference"/>
    <w:basedOn w:val="DefaultParagraphFont"/>
    <w:uiPriority w:val="32"/>
    <w:qFormat/>
    <w:rsid w:val="0090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cp:lastPrinted>2025-04-14T13:48:00Z</cp:lastPrinted>
  <dcterms:created xsi:type="dcterms:W3CDTF">2025-04-14T13:49:00Z</dcterms:created>
  <dcterms:modified xsi:type="dcterms:W3CDTF">2025-04-14T13:49:00Z</dcterms:modified>
</cp:coreProperties>
</file>